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448945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483235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May,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420"/>
        <w:spacing w:after="0" w:line="207" w:lineRule="exact"/>
        <w:tabs>
          <w:tab w:leader="none" w:pos="582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40"/>
        <w:spacing w:after="0" w:line="207" w:lineRule="exact"/>
        <w:tabs>
          <w:tab w:leader="none" w:pos="576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40"/>
        <w:spacing w:after="0" w:line="207" w:lineRule="exact"/>
        <w:tabs>
          <w:tab w:leader="none" w:pos="576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102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May 4, 2020</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3794125</wp:posOffset>
            </wp:positionH>
            <wp:positionV relativeFrom="paragraph">
              <wp:posOffset>14605</wp:posOffset>
            </wp:positionV>
            <wp:extent cx="213423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134235" cy="8255"/>
                    </a:xfrm>
                    <a:prstGeom prst="rect">
                      <a:avLst/>
                    </a:prstGeom>
                    <a:noFill/>
                  </pic:spPr>
                </pic:pic>
              </a:graphicData>
            </a:graphic>
          </wp:anchor>
        </w:drawing>
      </w:r>
    </w:p>
    <w:p>
      <w:pPr>
        <w:spacing w:after="0" w:line="3" w:lineRule="exact"/>
        <w:rPr>
          <w:sz w:val="20"/>
          <w:szCs w:val="20"/>
          <w:color w:val="auto"/>
        </w:rPr>
      </w:pPr>
    </w:p>
    <w:p>
      <w:pPr>
        <w:ind w:left="598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980"/>
        <w:spacing w:after="0"/>
        <w:tabs>
          <w:tab w:leader="none" w:pos="64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2900045</wp:posOffset>
            </wp:positionH>
            <wp:positionV relativeFrom="page">
              <wp:posOffset>586105</wp:posOffset>
            </wp:positionV>
            <wp:extent cx="1714500" cy="7029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714500" cy="7029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BLADEX ANNOUNCES ANNUAL SHAREHOLDERS’ MEETING RESULTS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 xml:space="preserve">Panama City, Republic of Panama, May 4, 2020 </w:t>
      </w:r>
      <w:r>
        <w:rPr>
          <w:rFonts w:ascii="Arial" w:cs="Arial" w:eastAsia="Arial" w:hAnsi="Arial"/>
          <w:sz w:val="16"/>
          <w:szCs w:val="16"/>
          <w:color w:val="auto"/>
        </w:rPr>
        <w:t>- Banco Latinoamericano de Comercio Exterior, S.A. (“Bladex” or the “Bank”), announces that at the</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Annual Meeting of Shareholders virtually held on April 29, 2020, shareholders:</w:t>
      </w:r>
    </w:p>
    <w:p>
      <w:pPr>
        <w:spacing w:after="0" w:line="211" w:lineRule="exact"/>
        <w:rPr>
          <w:sz w:val="20"/>
          <w:szCs w:val="20"/>
          <w:color w:val="auto"/>
        </w:rPr>
      </w:pPr>
    </w:p>
    <w:p>
      <w:pPr>
        <w:ind w:left="660" w:hanging="328"/>
        <w:spacing w:after="0"/>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Approved the Bank’s audited consolidated financial statements for the fiscal year ended December 31, 2019.</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1"/>
        </w:numPr>
        <w:rPr>
          <w:rFonts w:ascii="Arial" w:cs="Arial" w:eastAsia="Arial" w:hAnsi="Arial"/>
          <w:sz w:val="16"/>
          <w:szCs w:val="16"/>
          <w:color w:val="auto"/>
        </w:rPr>
      </w:pPr>
      <w:r>
        <w:rPr>
          <w:rFonts w:ascii="Arial" w:cs="Arial" w:eastAsia="Arial" w:hAnsi="Arial"/>
          <w:sz w:val="16"/>
          <w:szCs w:val="16"/>
          <w:color w:val="auto"/>
        </w:rPr>
        <w:t>Ratified the appointment of KPMG as the Bank’s independent registered public accounting firm for the fiscal year ending December 31, 2020.</w:t>
      </w:r>
    </w:p>
    <w:p>
      <w:pPr>
        <w:spacing w:after="0" w:line="248" w:lineRule="exact"/>
        <w:rPr>
          <w:rFonts w:ascii="Arial" w:cs="Arial" w:eastAsia="Arial" w:hAnsi="Arial"/>
          <w:sz w:val="16"/>
          <w:szCs w:val="16"/>
          <w:color w:val="auto"/>
        </w:rPr>
      </w:pPr>
    </w:p>
    <w:p>
      <w:pPr>
        <w:ind w:left="660" w:hanging="328"/>
        <w:spacing w:after="0" w:line="342" w:lineRule="auto"/>
        <w:tabs>
          <w:tab w:leader="none" w:pos="660" w:val="left"/>
        </w:tabs>
        <w:numPr>
          <w:ilvl w:val="0"/>
          <w:numId w:val="1"/>
        </w:numPr>
        <w:rPr>
          <w:rFonts w:ascii="Arial" w:cs="Arial" w:eastAsia="Arial" w:hAnsi="Arial"/>
          <w:sz w:val="16"/>
          <w:szCs w:val="16"/>
          <w:color w:val="auto"/>
        </w:rPr>
      </w:pPr>
      <w:r>
        <w:rPr>
          <w:rFonts w:ascii="Arial" w:cs="Arial" w:eastAsia="Arial" w:hAnsi="Arial"/>
          <w:sz w:val="16"/>
          <w:szCs w:val="16"/>
          <w:color w:val="auto"/>
        </w:rPr>
        <w:t>Re-elected Mr. José Alberto Garzón and Mr. Mario Covo as Directors representing the holders of Class A shares and Class E shares of the Bank’s common stock, respectively, and elected Mr. Eduardo Hecker as Director representing the holders of Class A shares of the Bank’s common stock.</w:t>
      </w:r>
    </w:p>
    <w:p>
      <w:pPr>
        <w:spacing w:after="0" w:line="123" w:lineRule="exact"/>
        <w:rPr>
          <w:rFonts w:ascii="Arial" w:cs="Arial" w:eastAsia="Arial" w:hAnsi="Arial"/>
          <w:sz w:val="16"/>
          <w:szCs w:val="16"/>
          <w:color w:val="auto"/>
        </w:rPr>
      </w:pPr>
    </w:p>
    <w:p>
      <w:pPr>
        <w:ind w:left="660" w:hanging="328"/>
        <w:spacing w:after="0"/>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Approved, on an advisory basis, the compensation of the Bank’s executive officers.</w:t>
      </w:r>
    </w:p>
    <w:p>
      <w:pPr>
        <w:spacing w:after="0" w:line="225"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Approved an amendment to Article 12 of the Bank’s Articles of Incorporation to delete a provision that required that the Board of Directors always nominate the Chief Executive Officer as one of the two Directors to be elected by the holders of all classes of shares of the Bank’s common stock.</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206375</wp:posOffset>
            </wp:positionH>
            <wp:positionV relativeFrom="page">
              <wp:posOffset>586105</wp:posOffset>
            </wp:positionV>
            <wp:extent cx="7136130" cy="20148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6130" cy="20148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E-mail address: ir@bladex.com. Tel.: (+507) 210-8563</w:t>
      </w:r>
    </w:p>
    <w:p>
      <w:pPr>
        <w:spacing w:after="0" w:line="9" w:lineRule="exact"/>
        <w:rPr>
          <w:sz w:val="20"/>
          <w:szCs w:val="20"/>
          <w:color w:val="auto"/>
        </w:rPr>
      </w:pPr>
    </w:p>
    <w:p>
      <w:pPr>
        <w:ind w:right="3939"/>
        <w:spacing w:after="0" w:line="260" w:lineRule="auto"/>
        <w:rPr>
          <w:sz w:val="20"/>
          <w:szCs w:val="20"/>
          <w:color w:val="auto"/>
        </w:rPr>
      </w:pPr>
      <w:r>
        <w:rPr>
          <w:rFonts w:ascii="Arial" w:cs="Arial" w:eastAsia="Arial" w:hAnsi="Arial"/>
          <w:sz w:val="18"/>
          <w:szCs w:val="18"/>
          <w:color w:val="auto"/>
        </w:rPr>
        <w:t>Head Office Address: Torre V, Business Park, Ave. La Rotonda, Urb. Costa del Este, 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-57785</wp:posOffset>
            </wp:positionH>
            <wp:positionV relativeFrom="paragraph">
              <wp:posOffset>847090</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0039"/>
      </w:cols>
      <w:pgMar w:left="42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2020-05-05T05:09:43Z</dcterms:created>
  <dcterms:modified xsi:type="dcterms:W3CDTF">2020-05-05T05:09:43Z</dcterms:modified>
</cp:coreProperties>
</file>